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DIPARTIMENTO CULTURA, SPORT, GRANDI EVENTI E PROMOZIONE TURISTICA</w: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DIVISIONE EVENTI E PROMOZIONE TURISTICA -SPORT E TEMPO LIBERO</w:t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SERVIZIO GESTIONE SPORT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DD 11</w:t>
      </w:r>
      <w:r w:rsidDel="00000000" w:rsidR="00000000" w:rsidRPr="00000000">
        <w:rPr>
          <w:rFonts w:ascii="CIDFont+F1" w:cs="CIDFont+F1" w:eastAsia="CIDFont+F1" w:hAnsi="CIDFont+F1"/>
          <w:sz w:val="28"/>
          <w:szCs w:val="28"/>
          <w:rtl w:val="0"/>
        </w:rPr>
        <w:t xml:space="preserve">1</w:t>
      </w: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DEL 14/1/2025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IDFont+F1" w:cs="CIDFont+F1" w:eastAsia="CIDFont+F1" w:hAnsi="CIDFont+F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“Affidamento diretto ai sensi dell'art. 50, comma 1, lettera b) del D.Lgs. 36/2023 del servizio di organizzazione e conduzione di corsi rientranti nel progetto "Sport per le scuole - corsi di nuoto" rivolto alle scuole primarie cittadine per l'anno 2025. Piscina Comunale L</w:t>
      </w:r>
      <w:r w:rsidDel="00000000" w:rsidR="00000000" w:rsidRPr="00000000">
        <w:rPr>
          <w:rFonts w:ascii="CIDFont+F1" w:cs="CIDFont+F1" w:eastAsia="CIDFont+F1" w:hAnsi="CIDFont+F1"/>
          <w:sz w:val="28"/>
          <w:szCs w:val="28"/>
          <w:rtl w:val="0"/>
        </w:rPr>
        <w:t xml:space="preserve">ido</w:t>
      </w: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- affidatario Uisp Comitato Territoriale Torino Aps - impegno di spesa euro </w:t>
      </w:r>
      <w:r w:rsidDel="00000000" w:rsidR="00000000" w:rsidRPr="00000000">
        <w:rPr>
          <w:rFonts w:ascii="CIDFont+F1" w:cs="CIDFont+F1" w:eastAsia="CIDFont+F1" w:hAnsi="CIDFont+F1"/>
          <w:sz w:val="28"/>
          <w:szCs w:val="28"/>
          <w:rtl w:val="0"/>
        </w:rPr>
        <w:t xml:space="preserve">954 </w:t>
      </w: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,00 Iva esente ex art. 10 D.P.R. 633/72 - CIG. </w:t>
      </w:r>
      <w:r w:rsidDel="00000000" w:rsidR="00000000" w:rsidRPr="00000000">
        <w:rPr>
          <w:rFonts w:ascii="CIDFont+F1" w:cs="CIDFont+F1" w:eastAsia="CIDFont+F1" w:hAnsi="CIDFont+F1"/>
          <w:sz w:val="28"/>
          <w:szCs w:val="28"/>
          <w:rtl w:val="0"/>
        </w:rPr>
        <w:t xml:space="preserve">B500F0F058</w:t>
      </w: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”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CIG </w:t>
      </w:r>
      <w:r w:rsidDel="00000000" w:rsidR="00000000" w:rsidRPr="00000000">
        <w:rPr>
          <w:rFonts w:ascii="CIDFont+F1" w:cs="CIDFont+F1" w:eastAsia="CIDFont+F1" w:hAnsi="CIDFont+F1"/>
          <w:sz w:val="28"/>
          <w:szCs w:val="28"/>
          <w:rtl w:val="0"/>
        </w:rPr>
        <w:t xml:space="preserve">B500F0F058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Affidamento diretto ai sensi dell'art. 50, comma 1, lettera b) del D.Lgs. 36/2023 alla UISP COMITATO TERRITORIALE TORINO APS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Importo: €</w:t>
      </w:r>
      <w:r w:rsidDel="00000000" w:rsidR="00000000" w:rsidRPr="00000000">
        <w:rPr>
          <w:rFonts w:ascii="CIDFont+F1" w:cs="CIDFont+F1" w:eastAsia="CIDFont+F1" w:hAnsi="CIDFont+F1"/>
          <w:sz w:val="28"/>
          <w:szCs w:val="28"/>
          <w:rtl w:val="0"/>
        </w:rPr>
        <w:t xml:space="preserve"> 954,</w:t>
      </w: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00 I.v.a. esente ex art. 10 D.P.R. 633/72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Allegato: DD 11</w:t>
      </w:r>
      <w:r w:rsidDel="00000000" w:rsidR="00000000" w:rsidRPr="00000000">
        <w:rPr>
          <w:rFonts w:ascii="CIDFont+F1" w:cs="CIDFont+F1" w:eastAsia="CIDFont+F1" w:hAnsi="CIDFont+F1"/>
          <w:sz w:val="28"/>
          <w:szCs w:val="28"/>
          <w:rtl w:val="0"/>
        </w:rPr>
        <w:t xml:space="preserve">1</w:t>
      </w: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/2025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Area tematica: AFFIDAMENTI DIRETTI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IDFont+F1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